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9060" w:type="dxa"/>
        <w:tblInd w:w="-3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418"/>
        <w:gridCol w:w="1984"/>
        <w:gridCol w:w="4653"/>
        <w:gridCol w:w="1005"/>
      </w:tblGrid>
      <w:tr w:rsidR="009877D0" w:rsidTr="009877D0">
        <w:tc>
          <w:tcPr>
            <w:tcW w:w="1418" w:type="dxa"/>
            <w:shd w:val="clear" w:color="auto" w:fill="B8CCE4"/>
          </w:tcPr>
          <w:p w:rsidR="009877D0" w:rsidRPr="009877D0" w:rsidRDefault="009877D0" w:rsidP="009877D0">
            <w:pPr>
              <w:pStyle w:val="Heading2"/>
              <w:jc w:val="center"/>
              <w:rPr>
                <w:rFonts w:ascii="Arial" w:hAnsi="Arial" w:cs="Arial"/>
                <w:b w:val="0"/>
                <w:color w:val="auto"/>
                <w:sz w:val="24"/>
                <w:szCs w:val="24"/>
              </w:rPr>
            </w:pPr>
            <w:r w:rsidRPr="009877D0">
              <w:rPr>
                <w:rFonts w:ascii="Arial" w:hAnsi="Arial" w:cs="Arial"/>
                <w:b w:val="0"/>
                <w:color w:val="auto"/>
                <w:sz w:val="24"/>
                <w:szCs w:val="24"/>
              </w:rPr>
              <w:t>KPI/SLA</w:t>
            </w:r>
          </w:p>
        </w:tc>
        <w:tc>
          <w:tcPr>
            <w:tcW w:w="1984" w:type="dxa"/>
            <w:shd w:val="clear" w:color="auto" w:fill="B8CCE4"/>
          </w:tcPr>
          <w:p w:rsidR="009877D0" w:rsidRPr="009877D0" w:rsidRDefault="009877D0" w:rsidP="009877D0">
            <w:pPr>
              <w:pStyle w:val="Heading2"/>
              <w:ind w:left="720" w:hanging="720"/>
              <w:jc w:val="center"/>
              <w:rPr>
                <w:rFonts w:ascii="Arial" w:hAnsi="Arial" w:cs="Arial"/>
                <w:b w:val="0"/>
                <w:color w:val="auto"/>
                <w:sz w:val="24"/>
                <w:szCs w:val="24"/>
              </w:rPr>
            </w:pPr>
            <w:r w:rsidRPr="009877D0">
              <w:rPr>
                <w:rFonts w:ascii="Arial" w:hAnsi="Arial" w:cs="Arial"/>
                <w:b w:val="0"/>
                <w:color w:val="auto"/>
                <w:sz w:val="24"/>
                <w:szCs w:val="24"/>
              </w:rPr>
              <w:t>Service Area</w:t>
            </w:r>
          </w:p>
        </w:tc>
        <w:tc>
          <w:tcPr>
            <w:tcW w:w="4653" w:type="dxa"/>
            <w:shd w:val="clear" w:color="auto" w:fill="B8CCE4"/>
          </w:tcPr>
          <w:p w:rsidR="009877D0" w:rsidRPr="009877D0" w:rsidRDefault="009877D0" w:rsidP="001B4BD1">
            <w:pPr>
              <w:pStyle w:val="Heading2"/>
              <w:ind w:left="720"/>
              <w:rPr>
                <w:rFonts w:ascii="Arial" w:hAnsi="Arial" w:cs="Arial"/>
                <w:b w:val="0"/>
                <w:color w:val="auto"/>
                <w:sz w:val="24"/>
                <w:szCs w:val="24"/>
              </w:rPr>
            </w:pPr>
            <w:r w:rsidRPr="009877D0">
              <w:rPr>
                <w:rFonts w:ascii="Arial" w:hAnsi="Arial" w:cs="Arial"/>
                <w:b w:val="0"/>
                <w:color w:val="auto"/>
                <w:sz w:val="24"/>
                <w:szCs w:val="24"/>
              </w:rPr>
              <w:t>KPI/SLA description</w:t>
            </w:r>
          </w:p>
        </w:tc>
        <w:tc>
          <w:tcPr>
            <w:tcW w:w="1005" w:type="dxa"/>
            <w:shd w:val="clear" w:color="auto" w:fill="B8CCE4"/>
          </w:tcPr>
          <w:p w:rsidR="009877D0" w:rsidRPr="009877D0" w:rsidRDefault="009877D0" w:rsidP="009877D0">
            <w:pPr>
              <w:pStyle w:val="Heading2"/>
              <w:jc w:val="center"/>
              <w:rPr>
                <w:rFonts w:ascii="Arial" w:hAnsi="Arial" w:cs="Arial"/>
                <w:b w:val="0"/>
                <w:color w:val="auto"/>
                <w:sz w:val="24"/>
                <w:szCs w:val="24"/>
              </w:rPr>
            </w:pPr>
            <w:r w:rsidRPr="009877D0">
              <w:rPr>
                <w:rFonts w:ascii="Arial" w:hAnsi="Arial" w:cs="Arial"/>
                <w:b w:val="0"/>
                <w:color w:val="auto"/>
                <w:sz w:val="24"/>
                <w:szCs w:val="24"/>
              </w:rPr>
              <w:t>Target</w:t>
            </w:r>
          </w:p>
        </w:tc>
      </w:tr>
      <w:tr w:rsidR="009877D0" w:rsidTr="009877D0">
        <w:tc>
          <w:tcPr>
            <w:tcW w:w="1418" w:type="dxa"/>
          </w:tcPr>
          <w:p w:rsidR="009877D0" w:rsidRPr="009877D0" w:rsidRDefault="009877D0" w:rsidP="009877D0">
            <w:pPr>
              <w:pStyle w:val="Heading2"/>
              <w:ind w:left="720" w:hanging="720"/>
              <w:jc w:val="center"/>
              <w:rPr>
                <w:rFonts w:ascii="Arial" w:hAnsi="Arial" w:cs="Arial"/>
                <w:b w:val="0"/>
                <w:color w:val="auto"/>
                <w:sz w:val="24"/>
                <w:szCs w:val="24"/>
              </w:rPr>
            </w:pPr>
            <w:r w:rsidRPr="009877D0">
              <w:rPr>
                <w:rFonts w:ascii="Arial" w:hAnsi="Arial" w:cs="Arial"/>
                <w:b w:val="0"/>
                <w:color w:val="auto"/>
                <w:sz w:val="24"/>
                <w:szCs w:val="24"/>
              </w:rPr>
              <w:t>1</w:t>
            </w:r>
          </w:p>
        </w:tc>
        <w:tc>
          <w:tcPr>
            <w:tcW w:w="1984" w:type="dxa"/>
          </w:tcPr>
          <w:p w:rsidR="009877D0" w:rsidRPr="009877D0" w:rsidRDefault="009877D0" w:rsidP="009877D0">
            <w:pPr>
              <w:pStyle w:val="Heading2"/>
              <w:jc w:val="center"/>
              <w:rPr>
                <w:rFonts w:ascii="Arial" w:hAnsi="Arial" w:cs="Arial"/>
                <w:b w:val="0"/>
                <w:color w:val="auto"/>
                <w:sz w:val="24"/>
                <w:szCs w:val="24"/>
              </w:rPr>
            </w:pPr>
            <w:bookmarkStart w:id="0" w:name="_heading=h.l5nygigfdvq0" w:colFirst="0" w:colLast="0"/>
            <w:bookmarkEnd w:id="0"/>
            <w:r w:rsidRPr="009877D0">
              <w:rPr>
                <w:rFonts w:ascii="Arial" w:hAnsi="Arial" w:cs="Arial"/>
                <w:b w:val="0"/>
                <w:color w:val="auto"/>
                <w:sz w:val="24"/>
                <w:szCs w:val="24"/>
                <w:highlight w:val="white"/>
              </w:rPr>
              <w:t>Delivery timescales </w:t>
            </w:r>
          </w:p>
        </w:tc>
        <w:tc>
          <w:tcPr>
            <w:tcW w:w="4653" w:type="dxa"/>
          </w:tcPr>
          <w:p w:rsidR="009877D0" w:rsidRPr="009877D0" w:rsidRDefault="009877D0" w:rsidP="001B4BD1">
            <w:pPr>
              <w:pStyle w:val="Heading2"/>
              <w:rPr>
                <w:rFonts w:ascii="Arial" w:hAnsi="Arial" w:cs="Arial"/>
                <w:b w:val="0"/>
                <w:color w:val="auto"/>
                <w:sz w:val="24"/>
                <w:szCs w:val="24"/>
              </w:rPr>
            </w:pPr>
            <w:bookmarkStart w:id="1" w:name="_heading=h.yk7ipsmevhn2" w:colFirst="0" w:colLast="0"/>
            <w:bookmarkEnd w:id="1"/>
            <w:r w:rsidRPr="009877D0">
              <w:rPr>
                <w:rFonts w:ascii="Arial" w:hAnsi="Arial" w:cs="Arial"/>
                <w:b w:val="0"/>
                <w:color w:val="auto"/>
                <w:sz w:val="24"/>
                <w:szCs w:val="24"/>
                <w:highlight w:val="white"/>
              </w:rPr>
              <w:t xml:space="preserve">The Supplier shall adhere to the timescales/project plans unless otherwise agreed by </w:t>
            </w:r>
            <w:r w:rsidRPr="009877D0">
              <w:rPr>
                <w:rFonts w:ascii="Arial" w:hAnsi="Arial" w:cs="Arial"/>
                <w:b w:val="0"/>
                <w:color w:val="auto"/>
                <w:sz w:val="24"/>
                <w:szCs w:val="24"/>
              </w:rPr>
              <w:t>the ETF/MoD</w:t>
            </w:r>
            <w:r w:rsidRPr="009877D0">
              <w:rPr>
                <w:rFonts w:ascii="Arial" w:hAnsi="Arial" w:cs="Arial"/>
                <w:b w:val="0"/>
                <w:color w:val="auto"/>
                <w:sz w:val="24"/>
                <w:szCs w:val="24"/>
                <w:highlight w:val="white"/>
              </w:rPr>
              <w:t>. </w:t>
            </w:r>
            <w:r w:rsidRPr="009877D0">
              <w:rPr>
                <w:rFonts w:ascii="Arial" w:hAnsi="Arial" w:cs="Arial"/>
                <w:b w:val="0"/>
                <w:color w:val="auto"/>
                <w:sz w:val="24"/>
                <w:szCs w:val="24"/>
              </w:rPr>
              <w:t> </w:t>
            </w:r>
          </w:p>
        </w:tc>
        <w:tc>
          <w:tcPr>
            <w:tcW w:w="1005" w:type="dxa"/>
          </w:tcPr>
          <w:p w:rsidR="009877D0" w:rsidRPr="009877D0" w:rsidRDefault="009877D0" w:rsidP="009877D0">
            <w:pPr>
              <w:pStyle w:val="Heading2"/>
              <w:jc w:val="center"/>
              <w:rPr>
                <w:rFonts w:ascii="Arial" w:hAnsi="Arial" w:cs="Arial"/>
                <w:b w:val="0"/>
                <w:color w:val="auto"/>
                <w:sz w:val="24"/>
                <w:szCs w:val="24"/>
              </w:rPr>
            </w:pPr>
            <w:bookmarkStart w:id="2" w:name="_heading=h.7i46sm5vckai" w:colFirst="0" w:colLast="0"/>
            <w:bookmarkEnd w:id="2"/>
            <w:r w:rsidRPr="009877D0">
              <w:rPr>
                <w:rFonts w:ascii="Arial" w:hAnsi="Arial" w:cs="Arial"/>
                <w:b w:val="0"/>
                <w:color w:val="auto"/>
                <w:sz w:val="24"/>
                <w:szCs w:val="24"/>
              </w:rPr>
              <w:t>98%</w:t>
            </w:r>
          </w:p>
        </w:tc>
      </w:tr>
      <w:tr w:rsidR="009877D0" w:rsidTr="009877D0">
        <w:tc>
          <w:tcPr>
            <w:tcW w:w="1418" w:type="dxa"/>
          </w:tcPr>
          <w:p w:rsidR="009877D0" w:rsidRPr="009877D0" w:rsidRDefault="009877D0" w:rsidP="009877D0">
            <w:pPr>
              <w:pStyle w:val="Heading2"/>
              <w:jc w:val="center"/>
              <w:rPr>
                <w:rFonts w:ascii="Arial" w:hAnsi="Arial" w:cs="Arial"/>
                <w:b w:val="0"/>
                <w:color w:val="auto"/>
                <w:sz w:val="24"/>
                <w:szCs w:val="24"/>
              </w:rPr>
            </w:pPr>
            <w:bookmarkStart w:id="3" w:name="_heading=h.sgcqbyw75fby" w:colFirst="0" w:colLast="0"/>
            <w:bookmarkEnd w:id="3"/>
            <w:r w:rsidRPr="009877D0">
              <w:rPr>
                <w:rFonts w:ascii="Arial" w:hAnsi="Arial" w:cs="Arial"/>
                <w:b w:val="0"/>
                <w:color w:val="auto"/>
                <w:sz w:val="24"/>
                <w:szCs w:val="24"/>
              </w:rPr>
              <w:t>2</w:t>
            </w:r>
          </w:p>
        </w:tc>
        <w:tc>
          <w:tcPr>
            <w:tcW w:w="1984" w:type="dxa"/>
          </w:tcPr>
          <w:p w:rsidR="009877D0" w:rsidRPr="009877D0" w:rsidRDefault="009877D0" w:rsidP="009877D0">
            <w:pPr>
              <w:pStyle w:val="Heading2"/>
              <w:jc w:val="center"/>
              <w:rPr>
                <w:rFonts w:ascii="Arial" w:hAnsi="Arial" w:cs="Arial"/>
                <w:b w:val="0"/>
                <w:color w:val="auto"/>
                <w:sz w:val="24"/>
                <w:szCs w:val="24"/>
              </w:rPr>
            </w:pPr>
            <w:bookmarkStart w:id="4" w:name="_heading=h.n22dpd6o40xx" w:colFirst="0" w:colLast="0"/>
            <w:bookmarkEnd w:id="4"/>
            <w:r w:rsidRPr="009877D0">
              <w:rPr>
                <w:rFonts w:ascii="Arial" w:hAnsi="Arial" w:cs="Arial"/>
                <w:b w:val="0"/>
                <w:color w:val="auto"/>
                <w:sz w:val="24"/>
                <w:szCs w:val="24"/>
              </w:rPr>
              <w:t>Supplier Attendance</w:t>
            </w:r>
          </w:p>
        </w:tc>
        <w:tc>
          <w:tcPr>
            <w:tcW w:w="4653" w:type="dxa"/>
          </w:tcPr>
          <w:p w:rsidR="009877D0" w:rsidRPr="009877D0" w:rsidRDefault="009877D0" w:rsidP="001B4BD1">
            <w:pPr>
              <w:pStyle w:val="Heading2"/>
              <w:rPr>
                <w:rFonts w:ascii="Arial" w:hAnsi="Arial" w:cs="Arial"/>
                <w:b w:val="0"/>
                <w:color w:val="auto"/>
                <w:sz w:val="24"/>
                <w:szCs w:val="24"/>
              </w:rPr>
            </w:pPr>
            <w:bookmarkStart w:id="5" w:name="_heading=h.vlvn1qni7xts" w:colFirst="0" w:colLast="0"/>
            <w:bookmarkEnd w:id="5"/>
            <w:r w:rsidRPr="009877D0">
              <w:rPr>
                <w:rFonts w:ascii="Arial" w:hAnsi="Arial" w:cs="Arial"/>
                <w:b w:val="0"/>
                <w:color w:val="auto"/>
                <w:sz w:val="24"/>
                <w:szCs w:val="24"/>
              </w:rPr>
              <w:t xml:space="preserve">Supplier attendance at key meetings (The Supplier’s project manager will be expected to attend all project meetings, informing the Buyer and delegating responsibility where this is not possible) </w:t>
            </w:r>
          </w:p>
        </w:tc>
        <w:tc>
          <w:tcPr>
            <w:tcW w:w="1005" w:type="dxa"/>
          </w:tcPr>
          <w:p w:rsidR="009877D0" w:rsidRPr="009877D0" w:rsidRDefault="009877D0" w:rsidP="009877D0">
            <w:pPr>
              <w:pStyle w:val="Heading2"/>
              <w:jc w:val="center"/>
              <w:rPr>
                <w:rFonts w:ascii="Arial" w:hAnsi="Arial" w:cs="Arial"/>
                <w:b w:val="0"/>
                <w:color w:val="auto"/>
                <w:sz w:val="24"/>
                <w:szCs w:val="24"/>
              </w:rPr>
            </w:pPr>
            <w:bookmarkStart w:id="6" w:name="_heading=h.o6j5zzaolo8c" w:colFirst="0" w:colLast="0"/>
            <w:bookmarkEnd w:id="6"/>
            <w:r w:rsidRPr="009877D0">
              <w:rPr>
                <w:rFonts w:ascii="Arial" w:hAnsi="Arial" w:cs="Arial"/>
                <w:b w:val="0"/>
                <w:color w:val="auto"/>
                <w:sz w:val="24"/>
                <w:szCs w:val="24"/>
              </w:rPr>
              <w:t>98%</w:t>
            </w:r>
          </w:p>
        </w:tc>
      </w:tr>
      <w:tr w:rsidR="009877D0" w:rsidTr="009877D0">
        <w:tc>
          <w:tcPr>
            <w:tcW w:w="1418" w:type="dxa"/>
          </w:tcPr>
          <w:p w:rsidR="009877D0" w:rsidRPr="009877D0" w:rsidRDefault="009877D0" w:rsidP="009877D0">
            <w:pPr>
              <w:pStyle w:val="Heading2"/>
              <w:jc w:val="center"/>
              <w:rPr>
                <w:rFonts w:ascii="Arial" w:hAnsi="Arial" w:cs="Arial"/>
                <w:b w:val="0"/>
                <w:color w:val="auto"/>
                <w:sz w:val="24"/>
                <w:szCs w:val="24"/>
              </w:rPr>
            </w:pPr>
            <w:bookmarkStart w:id="7" w:name="_heading=h.uvvamqh0s7qg" w:colFirst="0" w:colLast="0"/>
            <w:bookmarkEnd w:id="7"/>
            <w:r w:rsidRPr="009877D0">
              <w:rPr>
                <w:rFonts w:ascii="Arial" w:hAnsi="Arial" w:cs="Arial"/>
                <w:b w:val="0"/>
                <w:color w:val="auto"/>
                <w:sz w:val="24"/>
                <w:szCs w:val="24"/>
              </w:rPr>
              <w:t>3</w:t>
            </w:r>
          </w:p>
        </w:tc>
        <w:tc>
          <w:tcPr>
            <w:tcW w:w="1984" w:type="dxa"/>
          </w:tcPr>
          <w:p w:rsidR="009877D0" w:rsidRPr="009877D0" w:rsidRDefault="009877D0" w:rsidP="009877D0">
            <w:pPr>
              <w:pStyle w:val="Heading2"/>
              <w:jc w:val="center"/>
              <w:rPr>
                <w:rFonts w:ascii="Arial" w:hAnsi="Arial" w:cs="Arial"/>
                <w:b w:val="0"/>
                <w:color w:val="auto"/>
                <w:sz w:val="24"/>
                <w:szCs w:val="24"/>
              </w:rPr>
            </w:pPr>
            <w:bookmarkStart w:id="8" w:name="_heading=h.ugbaoewzfl17" w:colFirst="0" w:colLast="0"/>
            <w:bookmarkEnd w:id="8"/>
            <w:r w:rsidRPr="009877D0">
              <w:rPr>
                <w:rFonts w:ascii="Arial" w:hAnsi="Arial" w:cs="Arial"/>
                <w:b w:val="0"/>
                <w:color w:val="auto"/>
                <w:sz w:val="24"/>
                <w:szCs w:val="24"/>
              </w:rPr>
              <w:t>Supplier Responsiveness</w:t>
            </w:r>
          </w:p>
        </w:tc>
        <w:tc>
          <w:tcPr>
            <w:tcW w:w="4653" w:type="dxa"/>
          </w:tcPr>
          <w:p w:rsidR="009877D0" w:rsidRPr="009877D0" w:rsidRDefault="009877D0" w:rsidP="001B4BD1">
            <w:pPr>
              <w:pStyle w:val="Heading2"/>
              <w:rPr>
                <w:rFonts w:ascii="Arial" w:hAnsi="Arial" w:cs="Arial"/>
                <w:b w:val="0"/>
                <w:color w:val="auto"/>
                <w:sz w:val="24"/>
                <w:szCs w:val="24"/>
              </w:rPr>
            </w:pPr>
            <w:bookmarkStart w:id="9" w:name="_heading=h.g6zomb6pvx4j" w:colFirst="0" w:colLast="0"/>
            <w:bookmarkEnd w:id="9"/>
            <w:r w:rsidRPr="009877D0">
              <w:rPr>
                <w:rFonts w:ascii="Arial" w:hAnsi="Arial" w:cs="Arial"/>
                <w:b w:val="0"/>
                <w:color w:val="auto"/>
                <w:sz w:val="24"/>
                <w:szCs w:val="24"/>
              </w:rPr>
              <w:t>Supplier responds in the same working day to any requests from the ETF/MoD submitted by 11am and the next working day to requests submitted after 11am</w:t>
            </w:r>
          </w:p>
        </w:tc>
        <w:tc>
          <w:tcPr>
            <w:tcW w:w="1005" w:type="dxa"/>
          </w:tcPr>
          <w:p w:rsidR="009877D0" w:rsidRPr="009877D0" w:rsidRDefault="009877D0" w:rsidP="009877D0">
            <w:pPr>
              <w:pStyle w:val="Heading2"/>
              <w:jc w:val="center"/>
              <w:rPr>
                <w:rFonts w:ascii="Arial" w:hAnsi="Arial" w:cs="Arial"/>
                <w:b w:val="0"/>
                <w:color w:val="auto"/>
                <w:sz w:val="24"/>
                <w:szCs w:val="24"/>
              </w:rPr>
            </w:pPr>
            <w:bookmarkStart w:id="10" w:name="_heading=h.p9b9q2f1kxbk" w:colFirst="0" w:colLast="0"/>
            <w:bookmarkEnd w:id="10"/>
            <w:r w:rsidRPr="009877D0">
              <w:rPr>
                <w:rFonts w:ascii="Arial" w:hAnsi="Arial" w:cs="Arial"/>
                <w:b w:val="0"/>
                <w:color w:val="auto"/>
                <w:sz w:val="24"/>
                <w:szCs w:val="24"/>
              </w:rPr>
              <w:t>98%</w:t>
            </w:r>
          </w:p>
        </w:tc>
      </w:tr>
      <w:tr w:rsidR="009877D0" w:rsidTr="009877D0">
        <w:tc>
          <w:tcPr>
            <w:tcW w:w="1418" w:type="dxa"/>
          </w:tcPr>
          <w:p w:rsidR="009877D0" w:rsidRPr="009877D0" w:rsidRDefault="009877D0" w:rsidP="009877D0">
            <w:pPr>
              <w:pStyle w:val="Heading2"/>
              <w:jc w:val="center"/>
              <w:rPr>
                <w:rFonts w:ascii="Arial" w:hAnsi="Arial" w:cs="Arial"/>
                <w:b w:val="0"/>
                <w:color w:val="auto"/>
                <w:sz w:val="24"/>
                <w:szCs w:val="24"/>
              </w:rPr>
            </w:pPr>
            <w:bookmarkStart w:id="11" w:name="_heading=h.wayhvt59w3cc" w:colFirst="0" w:colLast="0"/>
            <w:bookmarkEnd w:id="11"/>
            <w:r w:rsidRPr="009877D0">
              <w:rPr>
                <w:rFonts w:ascii="Arial" w:hAnsi="Arial" w:cs="Arial"/>
                <w:b w:val="0"/>
                <w:color w:val="auto"/>
                <w:sz w:val="24"/>
                <w:szCs w:val="24"/>
              </w:rPr>
              <w:t>4</w:t>
            </w:r>
          </w:p>
        </w:tc>
        <w:tc>
          <w:tcPr>
            <w:tcW w:w="1984" w:type="dxa"/>
          </w:tcPr>
          <w:p w:rsidR="009877D0" w:rsidRPr="009877D0" w:rsidRDefault="009877D0" w:rsidP="009877D0">
            <w:pPr>
              <w:pStyle w:val="Heading2"/>
              <w:jc w:val="center"/>
              <w:rPr>
                <w:rFonts w:ascii="Arial" w:hAnsi="Arial" w:cs="Arial"/>
                <w:b w:val="0"/>
                <w:color w:val="auto"/>
                <w:sz w:val="24"/>
                <w:szCs w:val="24"/>
              </w:rPr>
            </w:pPr>
            <w:bookmarkStart w:id="12" w:name="_heading=h.ci8dpaj427ws" w:colFirst="0" w:colLast="0"/>
            <w:bookmarkEnd w:id="12"/>
            <w:r w:rsidRPr="009877D0">
              <w:rPr>
                <w:rFonts w:ascii="Arial" w:hAnsi="Arial" w:cs="Arial"/>
                <w:b w:val="0"/>
                <w:color w:val="auto"/>
                <w:sz w:val="24"/>
                <w:szCs w:val="24"/>
              </w:rPr>
              <w:t>Supplier Responsiveness</w:t>
            </w:r>
          </w:p>
        </w:tc>
        <w:tc>
          <w:tcPr>
            <w:tcW w:w="4653" w:type="dxa"/>
          </w:tcPr>
          <w:p w:rsidR="009877D0" w:rsidRPr="009877D0" w:rsidRDefault="009877D0" w:rsidP="001B4BD1">
            <w:pPr>
              <w:pStyle w:val="Heading2"/>
              <w:rPr>
                <w:rFonts w:ascii="Arial" w:hAnsi="Arial" w:cs="Arial"/>
                <w:b w:val="0"/>
                <w:color w:val="auto"/>
                <w:sz w:val="24"/>
                <w:szCs w:val="24"/>
              </w:rPr>
            </w:pPr>
            <w:bookmarkStart w:id="13" w:name="_heading=h.62lbsqqcvqqe" w:colFirst="0" w:colLast="0"/>
            <w:bookmarkEnd w:id="13"/>
            <w:r w:rsidRPr="009877D0">
              <w:rPr>
                <w:rFonts w:ascii="Arial" w:hAnsi="Arial" w:cs="Arial"/>
                <w:b w:val="0"/>
                <w:color w:val="auto"/>
                <w:sz w:val="24"/>
                <w:szCs w:val="24"/>
              </w:rPr>
              <w:t>The supplier provides the ETF/MoD with at least five working days for reviewing drafts and providing comments</w:t>
            </w:r>
          </w:p>
        </w:tc>
        <w:tc>
          <w:tcPr>
            <w:tcW w:w="1005" w:type="dxa"/>
          </w:tcPr>
          <w:p w:rsidR="009877D0" w:rsidRPr="009877D0" w:rsidRDefault="009877D0" w:rsidP="009877D0">
            <w:pPr>
              <w:pStyle w:val="Heading2"/>
              <w:jc w:val="center"/>
              <w:rPr>
                <w:rFonts w:ascii="Arial" w:hAnsi="Arial" w:cs="Arial"/>
                <w:b w:val="0"/>
                <w:color w:val="auto"/>
                <w:sz w:val="24"/>
                <w:szCs w:val="24"/>
              </w:rPr>
            </w:pPr>
            <w:bookmarkStart w:id="14" w:name="_heading=h.6ruqy2o7j5wd" w:colFirst="0" w:colLast="0"/>
            <w:bookmarkEnd w:id="14"/>
            <w:r w:rsidRPr="009877D0">
              <w:rPr>
                <w:rFonts w:ascii="Arial" w:hAnsi="Arial" w:cs="Arial"/>
                <w:b w:val="0"/>
                <w:color w:val="auto"/>
                <w:sz w:val="24"/>
                <w:szCs w:val="24"/>
              </w:rPr>
              <w:t>98%</w:t>
            </w:r>
          </w:p>
        </w:tc>
      </w:tr>
    </w:tbl>
    <w:p w:rsidR="005D1C56" w:rsidRPr="00EF7368" w:rsidRDefault="005D1C56" w:rsidP="009674CA">
      <w:pPr>
        <w:pStyle w:val="GPSSchAnnexname"/>
        <w:jc w:val="left"/>
        <w:rPr>
          <w:rFonts w:ascii="Arial Bold" w:hAnsi="Arial Bold" w:cs="Arial" w:hint="eastAsia"/>
          <w:caps w:val="0"/>
          <w:sz w:val="36"/>
          <w:szCs w:val="36"/>
        </w:rPr>
      </w:pPr>
      <w:bookmarkStart w:id="15" w:name="_GoBack"/>
      <w:bookmarkEnd w:id="15"/>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6" w:name="_Hlt365637504"/>
      <w:bookmarkStart w:id="17" w:name="_Hlt365637641"/>
      <w:bookmarkStart w:id="18" w:name="_Hlt365636904"/>
      <w:bookmarkStart w:id="19" w:name="_Hlt365636907"/>
      <w:bookmarkStart w:id="20" w:name="_Toc349230508"/>
      <w:bookmarkStart w:id="21" w:name="_Toc349230509"/>
      <w:bookmarkStart w:id="22" w:name="_Toc349230615"/>
      <w:bookmarkStart w:id="23" w:name="_Toc349230624"/>
      <w:bookmarkStart w:id="24" w:name="_Toc349230661"/>
      <w:bookmarkStart w:id="25" w:name="_Toc349230715"/>
      <w:bookmarkStart w:id="26" w:name="_Toc349230717"/>
      <w:bookmarkStart w:id="27" w:name="_Toc349231564"/>
      <w:bookmarkStart w:id="28" w:name="_Toc348712421"/>
      <w:bookmarkStart w:id="29" w:name="_Toc348712423"/>
      <w:bookmarkStart w:id="30" w:name="_Toc348712425"/>
      <w:bookmarkStart w:id="31" w:name="_Toc349230720"/>
      <w:bookmarkStart w:id="32" w:name="_Toc349231566"/>
      <w:bookmarkStart w:id="33" w:name="_Toc348712427"/>
      <w:bookmarkStart w:id="34" w:name="_Toc348712429"/>
      <w:bookmarkStart w:id="35" w:name="_Toc349230723"/>
      <w:bookmarkStart w:id="36" w:name="_Toc348712431"/>
      <w:bookmarkStart w:id="37" w:name="_Toc349230725"/>
      <w:bookmarkStart w:id="38" w:name="_Toc349231569"/>
      <w:bookmarkStart w:id="39" w:name="_Toc349230741"/>
      <w:bookmarkStart w:id="40" w:name="_Toc349231585"/>
      <w:bookmarkStart w:id="41" w:name="_Toc349232221"/>
      <w:bookmarkStart w:id="42" w:name="_Toc349230757"/>
      <w:bookmarkStart w:id="43" w:name="_Toc349230765"/>
      <w:bookmarkStart w:id="44" w:name="_Toc349231607"/>
      <w:bookmarkStart w:id="45" w:name="_Toc349232238"/>
      <w:bookmarkStart w:id="46" w:name="_Toc349230785"/>
      <w:bookmarkStart w:id="47" w:name="_Toc349231627"/>
      <w:bookmarkStart w:id="48" w:name="_Toc349230790"/>
      <w:bookmarkStart w:id="49" w:name="_Toc349231632"/>
      <w:bookmarkStart w:id="50" w:name="_Toc349230792"/>
      <w:bookmarkStart w:id="51" w:name="_Toc349230803"/>
      <w:bookmarkStart w:id="52" w:name="_Toc349231642"/>
      <w:bookmarkStart w:id="53" w:name="_Toc349232261"/>
      <w:bookmarkStart w:id="54" w:name="_Toc349230813"/>
      <w:bookmarkStart w:id="55" w:name="_Toc349231652"/>
      <w:bookmarkStart w:id="56" w:name="_Toc349232271"/>
      <w:bookmarkStart w:id="57" w:name="_Toc349230815"/>
      <w:bookmarkStart w:id="58" w:name="_Toc349231654"/>
      <w:bookmarkStart w:id="59" w:name="_Toc349232273"/>
      <w:bookmarkStart w:id="60" w:name="_Toc349230822"/>
      <w:bookmarkStart w:id="61" w:name="_Toc349231661"/>
      <w:bookmarkStart w:id="62" w:name="_Toc349232279"/>
      <w:bookmarkStart w:id="63" w:name="_Toc349230832"/>
      <w:bookmarkStart w:id="64" w:name="_Toc348712442"/>
      <w:bookmarkStart w:id="65" w:name="_Toc349230834"/>
      <w:bookmarkStart w:id="66" w:name="_Toc349231671"/>
      <w:bookmarkStart w:id="67" w:name="_Toc349230841"/>
      <w:bookmarkStart w:id="68" w:name="_Toc349231678"/>
      <w:bookmarkStart w:id="69" w:name="_Toc349232291"/>
      <w:bookmarkStart w:id="70" w:name="_Toc349230869"/>
      <w:bookmarkStart w:id="71" w:name="_Toc348712444"/>
      <w:bookmarkStart w:id="72" w:name="_Toc348712446"/>
      <w:bookmarkStart w:id="73" w:name="_Toc348712448"/>
      <w:bookmarkStart w:id="74" w:name="_Toc349230895"/>
      <w:bookmarkStart w:id="75" w:name="_Toc349231722"/>
      <w:bookmarkStart w:id="76" w:name="_Toc349230912"/>
      <w:bookmarkStart w:id="77" w:name="_Toc349230938"/>
      <w:bookmarkStart w:id="78" w:name="_Toc349231748"/>
      <w:bookmarkStart w:id="79" w:name="_Toc348712500"/>
      <w:bookmarkStart w:id="80" w:name="_Toc349231028"/>
      <w:bookmarkStart w:id="81" w:name="_Toc349231805"/>
      <w:bookmarkStart w:id="82" w:name="_Toc348712594"/>
      <w:bookmarkStart w:id="83" w:name="_Toc349231076"/>
      <w:bookmarkStart w:id="84" w:name="_Toc349231179"/>
      <w:bookmarkStart w:id="85" w:name="_Toc349231185"/>
      <w:bookmarkStart w:id="86" w:name="_Toc348712710"/>
      <w:bookmarkStart w:id="87" w:name="_Toc348712716"/>
      <w:bookmarkStart w:id="88" w:name="_Toc34923120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495" w:rsidRDefault="00451495">
      <w:pPr>
        <w:spacing w:after="0" w:line="240" w:lineRule="auto"/>
      </w:pPr>
      <w:r>
        <w:separator/>
      </w:r>
    </w:p>
  </w:endnote>
  <w:endnote w:type="continuationSeparator" w:id="0">
    <w:p w:rsidR="00451495" w:rsidRDefault="00451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495" w:rsidRDefault="00451495">
      <w:pPr>
        <w:spacing w:after="0" w:line="240" w:lineRule="auto"/>
      </w:pPr>
      <w:r>
        <w:separator/>
      </w:r>
    </w:p>
  </w:footnote>
  <w:footnote w:type="continuationSeparator" w:id="0">
    <w:p w:rsidR="00451495" w:rsidRDefault="00451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451495"/>
    <w:rsid w:val="00513AA2"/>
    <w:rsid w:val="005B6F5F"/>
    <w:rsid w:val="005D1C56"/>
    <w:rsid w:val="00693E96"/>
    <w:rsid w:val="006A11C8"/>
    <w:rsid w:val="006D5E4C"/>
    <w:rsid w:val="006D74B7"/>
    <w:rsid w:val="006F25A9"/>
    <w:rsid w:val="007D14F5"/>
    <w:rsid w:val="007D6D10"/>
    <w:rsid w:val="00812463"/>
    <w:rsid w:val="009674CA"/>
    <w:rsid w:val="009877D0"/>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5C47A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4AACC-457D-49FD-92DA-498EB97D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Megan Lancaster</cp:lastModifiedBy>
  <cp:revision>4</cp:revision>
  <dcterms:created xsi:type="dcterms:W3CDTF">2019-08-12T10:46:00Z</dcterms:created>
  <dcterms:modified xsi:type="dcterms:W3CDTF">2023-07-24T14:03:00Z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